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A1C" w:rsidRPr="002F13CF" w:rsidRDefault="00D22A1C" w:rsidP="00D22A1C">
      <w:pPr>
        <w:widowControl w:val="0"/>
        <w:shd w:val="clear" w:color="auto" w:fill="FFFFFF"/>
        <w:spacing w:after="0" w:line="240" w:lineRule="auto"/>
        <w:ind w:left="2410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Приложение №</w:t>
      </w:r>
      <w:r>
        <w:rPr>
          <w:rFonts w:ascii="Times New Roman" w:hAnsi="Times New Roman" w:cs="Times New Roman"/>
          <w:bCs/>
          <w:snapToGrid w:val="0"/>
          <w:color w:val="000000"/>
          <w:szCs w:val="20"/>
        </w:rPr>
        <w:t>7</w:t>
      </w:r>
    </w:p>
    <w:p w:rsidR="00D22A1C" w:rsidRPr="00D22A1C" w:rsidRDefault="00D22A1C" w:rsidP="00D22A1C">
      <w:pPr>
        <w:widowControl w:val="0"/>
        <w:shd w:val="clear" w:color="auto" w:fill="FFFFFF"/>
        <w:spacing w:after="0" w:line="240" w:lineRule="auto"/>
        <w:ind w:left="2410" w:right="-29"/>
        <w:jc w:val="right"/>
        <w:rPr>
          <w:rFonts w:ascii="Times New Roman" w:hAnsi="Times New Roman" w:cs="Times New Roman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 xml:space="preserve"> </w:t>
      </w:r>
      <w:r w:rsidRPr="002F13CF">
        <w:rPr>
          <w:rFonts w:ascii="Times New Roman" w:hAnsi="Times New Roman" w:cs="Times New Roman"/>
          <w:color w:val="000000"/>
          <w:szCs w:val="20"/>
        </w:rPr>
        <w:t>к Договору № _______________от _____________ 2026 г.</w:t>
      </w:r>
    </w:p>
    <w:p w:rsidR="00335E6D" w:rsidRPr="00335E6D" w:rsidRDefault="00335E6D" w:rsidP="00D22A1C">
      <w:pPr>
        <w:widowControl w:val="0"/>
        <w:spacing w:after="0" w:line="240" w:lineRule="auto"/>
        <w:ind w:left="2410" w:right="-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E6D" w:rsidRPr="00335E6D" w:rsidRDefault="00335E6D" w:rsidP="00335E6D">
      <w:pPr>
        <w:widowControl w:val="0"/>
        <w:shd w:val="clear" w:color="auto" w:fill="FFFFFF"/>
        <w:spacing w:after="0" w:line="240" w:lineRule="auto"/>
        <w:ind w:right="-8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Требования к организации охраны, пропускного и </w:t>
      </w:r>
      <w:proofErr w:type="spellStart"/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>внутриобъектового</w:t>
      </w:r>
      <w:proofErr w:type="spellEnd"/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режима на строящихся (реконструируемых) объектах Заказчика</w:t>
      </w:r>
    </w:p>
    <w:p w:rsidR="00335E6D" w:rsidRPr="00335E6D" w:rsidRDefault="00335E6D" w:rsidP="00335E6D">
      <w:pPr>
        <w:widowControl w:val="0"/>
        <w:shd w:val="clear" w:color="auto" w:fill="FFFFFF"/>
        <w:spacing w:after="0" w:line="240" w:lineRule="auto"/>
        <w:ind w:right="-8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  <w:t>Принятые сокращения</w:t>
      </w:r>
    </w:p>
    <w:tbl>
      <w:tblPr>
        <w:tblStyle w:val="TableNormal"/>
        <w:tblW w:w="964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32"/>
        <w:gridCol w:w="7512"/>
      </w:tblGrid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tabs>
                <w:tab w:val="left" w:pos="1080"/>
              </w:tabs>
              <w:jc w:val="center"/>
            </w:pPr>
            <w:r w:rsidRPr="00335E6D">
              <w:rPr>
                <w:b/>
                <w:bCs/>
                <w:szCs w:val="26"/>
              </w:rPr>
              <w:t>Сокращение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tabs>
                <w:tab w:val="left" w:pos="1080"/>
              </w:tabs>
              <w:jc w:val="center"/>
            </w:pPr>
            <w:r w:rsidRPr="00335E6D">
              <w:rPr>
                <w:b/>
                <w:bCs/>
                <w:szCs w:val="26"/>
              </w:rPr>
              <w:t>Расшифровка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ИТСО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Инженерно-технические средства охраны.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КПП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Контрольно-пропускной пункт.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ВВ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Взрывчатые вещества.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ВУ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Взрывные устройства.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охранного телевидения.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ТК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Телевизионная камера системы охранного телевидения.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СОС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охранной сигнализации периметра.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КТС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Кнопка тревожной сигнализации.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СТС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тревожной сигнализации.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ТМЦ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Товарно-материальные ценности.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ПЦН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Пункт централизованного наблюдения.</w:t>
            </w:r>
          </w:p>
        </w:tc>
      </w:tr>
    </w:tbl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  <w:t>Термины и определения</w:t>
      </w:r>
    </w:p>
    <w:tbl>
      <w:tblPr>
        <w:tblStyle w:val="TableNormal"/>
        <w:tblW w:w="963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04"/>
        <w:gridCol w:w="6935"/>
      </w:tblGrid>
      <w:tr w:rsidR="00335E6D" w:rsidRPr="00335E6D" w:rsidTr="00D27225">
        <w:trPr>
          <w:trHeight w:val="32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Термин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Определение</w:t>
            </w:r>
          </w:p>
        </w:tc>
      </w:tr>
      <w:tr w:rsidR="00335E6D" w:rsidRPr="00335E6D" w:rsidTr="00D27225">
        <w:trPr>
          <w:trHeight w:val="2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Пропускной режим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Комплекс организационно-правовых ограничений и правил, устанавливающих порядок пропуска через контрольно-пропускные пункты руководителей и работников </w:t>
            </w:r>
            <w:r w:rsidRPr="00335E6D">
              <w:rPr>
                <w:i/>
                <w:szCs w:val="26"/>
              </w:rPr>
              <w:t>(наименование ДЗО ПАО «</w:t>
            </w:r>
            <w:proofErr w:type="spellStart"/>
            <w:r w:rsidRPr="00335E6D">
              <w:rPr>
                <w:i/>
                <w:szCs w:val="26"/>
              </w:rPr>
              <w:t>Россети</w:t>
            </w:r>
            <w:proofErr w:type="spellEnd"/>
            <w:r w:rsidRPr="00335E6D">
              <w:rPr>
                <w:i/>
                <w:szCs w:val="26"/>
              </w:rPr>
              <w:t>»)</w:t>
            </w:r>
            <w:r w:rsidRPr="00335E6D">
              <w:rPr>
                <w:szCs w:val="26"/>
              </w:rPr>
              <w:t>, осуществляющего функции Заказчика-Застройщика, Подрядчика, посетителей, транспорта, вноса (ввоза) и выноса (вывоза) товарно-материальных ценностей.</w:t>
            </w:r>
            <w:r w:rsidRPr="00335E6D">
              <w:rPr>
                <w:b/>
                <w:bCs/>
                <w:szCs w:val="26"/>
              </w:rPr>
              <w:t xml:space="preserve">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proofErr w:type="spellStart"/>
            <w:r w:rsidRPr="00335E6D">
              <w:rPr>
                <w:b/>
                <w:bCs/>
                <w:szCs w:val="26"/>
              </w:rPr>
              <w:t>Внутриобъектовый</w:t>
            </w:r>
            <w:proofErr w:type="spellEnd"/>
            <w:r w:rsidRPr="00335E6D">
              <w:rPr>
                <w:b/>
                <w:bCs/>
                <w:szCs w:val="26"/>
              </w:rPr>
              <w:t xml:space="preserve"> режим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Порядок, установленный заказчиком строительства/реконструкции объектов, не противоречащий законодательству Российской Федерации, доведенный до сведения персонала и посетителей объектов охраны и обеспечиваемый совокупностью мероприятий и правил, выполняемых лицами, находящимися на объектах охраны, в соответствии с правилами внутреннего трудового распорядка и требованиями пожарной безопасности.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Объект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1"/>
            </w:pPr>
            <w:r w:rsidRPr="00335E6D">
              <w:rPr>
                <w:szCs w:val="26"/>
              </w:rPr>
              <w:t>Строящиеся (реконструируемые) в соответствии с договором трансформаторные подстанции (ПС), воздушные, кабельные ЛЭП, а также занимаемая объектом охраняемая территория.</w:t>
            </w:r>
          </w:p>
        </w:tc>
      </w:tr>
      <w:tr w:rsidR="00335E6D" w:rsidRPr="00335E6D" w:rsidTr="00D27225">
        <w:trPr>
          <w:trHeight w:val="40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Подрядчик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Организация, выполняющая строительно-монтажные работы на объекте на основании заключенного договора, в том числе субподрядчик (организация, выполняющая строительно-монтажные работы на объекте на основании договора субподряда с Подрядчиком).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Стационарные объекты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Строящиеся (реконструируемые) подстанции, объекты (вне территорий действующих подстанций, объектов).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Линейные объекты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Линии электропередачи, линии связи (в том числе линейно-кабельные сооружения) и другие подобные сооружения.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Автостоянка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Часть занимаемой Объектом территории, предназначенная для стоянки автомашин служебного назначения и работников </w:t>
            </w:r>
            <w:r w:rsidRPr="00335E6D">
              <w:rPr>
                <w:i/>
                <w:szCs w:val="26"/>
              </w:rPr>
              <w:t>(наименование ДЗО ПАО «</w:t>
            </w:r>
            <w:proofErr w:type="spellStart"/>
            <w:r w:rsidRPr="00335E6D">
              <w:rPr>
                <w:i/>
                <w:szCs w:val="26"/>
              </w:rPr>
              <w:t>Россети</w:t>
            </w:r>
            <w:proofErr w:type="spellEnd"/>
            <w:r w:rsidRPr="00335E6D">
              <w:rPr>
                <w:i/>
                <w:szCs w:val="26"/>
              </w:rPr>
              <w:t>»)</w:t>
            </w:r>
            <w:r w:rsidRPr="00335E6D">
              <w:rPr>
                <w:szCs w:val="26"/>
              </w:rPr>
              <w:t xml:space="preserve">, автотранспорта Подрядчика и посетителей.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r w:rsidRPr="00335E6D">
              <w:rPr>
                <w:b/>
                <w:bCs/>
                <w:szCs w:val="26"/>
              </w:rPr>
              <w:t>Контрольно-пропускной пункт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Специально оборудованное место, предназначенное для контроля прохода физических лиц и проезда автотранспорта на территорию, занимаемую объектом.</w:t>
            </w:r>
          </w:p>
        </w:tc>
      </w:tr>
      <w:tr w:rsidR="00335E6D" w:rsidRPr="00335E6D" w:rsidTr="00D27225">
        <w:trPr>
          <w:trHeight w:val="255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r w:rsidRPr="00335E6D">
              <w:rPr>
                <w:b/>
                <w:bCs/>
                <w:szCs w:val="26"/>
              </w:rPr>
              <w:t>Документы, удостоверяющие личность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 паспорт гражданина Российской Федерации, в том числе удостоверяющий личность гражданина Российской Федерации за пределами Российской Федерации (если гражданин Российской Федерации постоянно проживает за пределами Российской Федерации);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 дипломатический паспорт гражданина Российской Федерации;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 служебный паспорт гражданина Российской Федерации;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удостоверение личности офицера для военнослужащего (офицера, прапорщика, мичмана);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военный билет солдата (матроса, сержанта, старшины), военный билет офицера запаса;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паспорт моряка или удостоверение личности моряка (для лиц, работающих на российских судах заграничного плавания или иностранных судах);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- временное удостоверение личности гражданина Российской Федерации.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lastRenderedPageBreak/>
              <w:t>Служебные удостоверения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Документ установленного образца, удостоверяющий положение и занимаемую работником должность, подтверждающий его полномочия и права при исполнении служебных обязанностей.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 xml:space="preserve">Подразделение охраны 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Работники охранной организации, осуществляющие охрану объекта, в соответствии с договором на оказание охранных услуг.</w:t>
            </w:r>
          </w:p>
        </w:tc>
      </w:tr>
      <w:tr w:rsidR="00335E6D" w:rsidRPr="00335E6D" w:rsidTr="00D27225">
        <w:trPr>
          <w:trHeight w:val="142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Охранная организация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Организация, зарегистрированная в установленном законом порядке и имеющая право на осуществление охранной деятельности.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r w:rsidRPr="00335E6D">
              <w:rPr>
                <w:szCs w:val="26"/>
              </w:rPr>
              <w:t xml:space="preserve">В соответствии с требованиями статьи 9 Федерального закона от 21.07.2011 № 256-ФЗ «О безопасности объектов топливно-энергетического комплекса» для обеспечения физической защиты объекта топливно-энергетического комплекса могут привлекаться подразделения и (или) организации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подразделения ведомственной охраны, частные охранные организации в зависимости от категории объекта и в соответствии с паспортом безопасности объекта топливно-энергетического комплекса.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Работник охраны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Гражданин Российской Федерации, достигший восемнадцати лет, прошедший профессиональную подготовку для работы в качестве охранника, сдавший квалификационный экзамен, получивший в установленном порядке удостоверение охранника и работающий по трудовому договору с охранной организацией.</w:t>
            </w:r>
          </w:p>
        </w:tc>
      </w:tr>
    </w:tbl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1. </w:t>
      </w:r>
      <w:r w:rsidRPr="00335E6D">
        <w:rPr>
          <w:rFonts w:ascii="Times New Roman" w:eastAsia="Calibri" w:hAnsi="Times New Roman" w:cs="Times New Roman"/>
          <w:b/>
          <w:bCs/>
          <w:sz w:val="24"/>
          <w:szCs w:val="24"/>
        </w:rPr>
        <w:t>Общие положения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1.1. Настоящие Требования определяют порядок обеспечения безопасности, охраны и антитеррористической защищенности объектов, на период их строительства (реконструкции), определяет перечень угроз безопасности объектам и основные требования к организации мероприятий по предотвращению указанных угроз.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1.2. Охрана строительного имущества, материалов и оборудования осуществляется Подрядчиком с момента начала выполнения Подрядчиком подготовительных, строительно-монтажных работ по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Подрядчику до даты подписания «Акта приемки законченного строительством объекта приемочной комиссией» самостоятельно за счет собственных сил и средств.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1.3. К охране Объекта и организации на нем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 Подрядчик привлекает Охранную организацию. Выбор Охранной организации согласуется с Заказчиком путем уведомления.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1.4. 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</w:t>
      </w:r>
      <w:r w:rsidRPr="00335E6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>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Мероприятия по предотвращению угроз безопасности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Основной перечень мероприятий по обеспечению безопасности строящегося Объекта, осуществляемых Подрядчиком на весь период строительства с момента начала выполнения Подрядчиком подготовительных, строительно-монтажных работ по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Подрядчику до подписания Акта приемки законченного строительством объекта приемочной комиссией, включает: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2.1. На стационарных Объектах: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u w:color="00B05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возведение временного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ограждения Объекта; 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организацию охраны Объекта, в том числе осуществление пропускного режима въезда/выезда (с возможностью осмотра) транспортных средств, входа/выхода персонала и посетителей, а также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режима;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обеспечение охраны материалов, оборудования и запасных частей к нему;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контроль материалов, оборудования и конструкций, поставляемых на строительные площадки, в целях обеспечения антитеррористической защищенности;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монтаж временных ИТСО, в том числе системы охранной сигнализации, системы охранного телевидения (видеонаблюдения), кнопки тревожной сигнализации, охранного освещения, а также шлагбаума, эстакады с площадкой для осмотра транспортных средств и грузов, турникета на КПП.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2.2. На линейных Объектах: </w:t>
      </w:r>
    </w:p>
    <w:p w:rsidR="00335E6D" w:rsidRPr="00335E6D" w:rsidRDefault="00335E6D" w:rsidP="00335E6D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контроль материалов, оборудования и конструкций, поставляемых на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приобъектовые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склады, в целях обеспечения антитеррористической защищенности;</w:t>
      </w:r>
    </w:p>
    <w:p w:rsidR="00335E6D" w:rsidRPr="00335E6D" w:rsidRDefault="00335E6D" w:rsidP="00335E6D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организацию охраны Объекта путем патрулирования и/или с применением стационарных постов в период проведения скрытых работ, монтажа (укладки) конструкций, оборудования Объекта;</w:t>
      </w:r>
    </w:p>
    <w:p w:rsidR="00335E6D" w:rsidRPr="00335E6D" w:rsidRDefault="00335E6D" w:rsidP="00335E6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организацию проверок состояния линейного Объекта путем регулярного патрулирования, с целью предотвращения фактов повреждения или хищения оборудования, а также с целью своевременного обнаружения факторов, способных нарушить дальнейшую эксплуатацию объекта или причинить вред жизни и здоровью граждан.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  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3. Требования к ИТСО строящегося Объекта</w:t>
      </w:r>
    </w:p>
    <w:p w:rsidR="00335E6D" w:rsidRPr="00335E6D" w:rsidRDefault="00335E6D" w:rsidP="00D22A1C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  <w:tab w:val="left" w:pos="16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к внешним ограждающим конструкциям, ИТСО детализируются применительно к конкретному объекту исходя из особенностей его дислокации, криминогенной обстановки и выполняются Подрядчиком в течение всего периода строительства с момента начала выполнения Подрядчиком подготовительных, строительно-монтажных работ по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 до подписания </w:t>
      </w:r>
      <w:r w:rsidRPr="00335E6D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bdr w:val="nil"/>
          <w:lang w:eastAsia="ru-RU"/>
        </w:rPr>
        <w:t>Акта приемки законченного строительством объекта приемочной комиссией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 соответствии с ГОСТ 23407-78 «Ограждения инвентарные строительных площадок и участков производства строительно-монтажных работ»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(при необходимости соответствовать требованиям ФСО России).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Временное ограждение периметра территории строящегося Объекта должно препятствовать проходу лиц и проезду транспортных средств на Объект и с Объекта, минуя КПП.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Высота временного внешнего ограждения территории строительства Объекта должна составлять не менее 2 (двух) метров, дополнительно применяется верхнее ограждение в виде спирального барьера типа «Егоза».            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Внешнее ограждение не должно иметь пролазов, проломов и других повреждений, а также не запираемых дверей, ворот, калиток и т.д.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организации прохода людей и проезда транспортных средств оборудуется КПП со шлагбаумом, турникетом и площадкой для осуществления осмотра транспортных средств и ввозимых грузов, при необходимости устанавливаются дополнительные ворота для въезда/выезда транспортных средств. 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КПП и их месторасположения должны выбираться в соответствии с утвержденной рабочей документации объекта строительства. </w:t>
      </w:r>
    </w:p>
    <w:p w:rsidR="00335E6D" w:rsidRPr="00335E6D" w:rsidRDefault="00335E6D" w:rsidP="00D22A1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На КПП осуществляются контроль правомочности прохода (проезда) и идентификация проходящих лиц (проезжающих транспортных средств), обеспечивается санкционированный доступ персонала, посетителей и командированных лиц на Объект, принимаются меры по предотвращению несанкционированного проноса и провоза запрещенных (ограниченных в обороте) предметов (веществ).</w:t>
      </w:r>
    </w:p>
    <w:p w:rsidR="00335E6D" w:rsidRPr="00335E6D" w:rsidRDefault="00335E6D" w:rsidP="00D22A1C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  <w:tab w:val="left" w:pos="16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к системе охранной сигнализации периметра строящегося Объекта. 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обнаружения попыток преодоления ограждения путем пролома или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перелазания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применяется система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однорубежной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сигнализации на основе вибрационной системы охраны.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Технические средства для охраны периметра территории Объекта должны обеспечивать: заданный режим охраны; надежность в работе и отсутствие ложных сигналов тревоги от воздействия метеорологических факторов и других помех; невозможность преодоления системы охраны; одновременный прием сигналов тревоги с любого блокированного участка с определением места нарушения.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Все оборудование, входящее в СОС периметра, должно иметь защиту от вскрытия (несанкционированного доступа).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Вывод информации от датчиков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периметральной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охраны должен осуществятся под управлением единого программного обеспечения.</w:t>
      </w:r>
    </w:p>
    <w:p w:rsidR="00335E6D" w:rsidRPr="00335E6D" w:rsidRDefault="00335E6D" w:rsidP="00D22A1C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Требования к системе охранного телевидения строящегося Объекта. 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СОТ должна решать следующие задачи:</w:t>
      </w:r>
    </w:p>
    <w:p w:rsidR="00335E6D" w:rsidRPr="00335E6D" w:rsidRDefault="00335E6D" w:rsidP="00D22A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 наблюдение - оценка обстановки на просматриваемом участке территории (сцене); </w:t>
      </w:r>
    </w:p>
    <w:p w:rsidR="00335E6D" w:rsidRPr="00335E6D" w:rsidRDefault="00335E6D" w:rsidP="00D22A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 верификации тревог - просмотр оператором необходимой сцены по сигналу от </w:t>
      </w:r>
      <w:proofErr w:type="spellStart"/>
      <w:r w:rsidRPr="00335E6D">
        <w:rPr>
          <w:rFonts w:ascii="Times New Roman" w:eastAsia="Calibri" w:hAnsi="Times New Roman" w:cs="Times New Roman"/>
          <w:sz w:val="24"/>
          <w:szCs w:val="24"/>
        </w:rPr>
        <w:t>извещателей</w:t>
      </w:r>
      <w:proofErr w:type="spellEnd"/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 охранной сигнализации для подтверждения факта нештатной ситуации; </w:t>
      </w:r>
    </w:p>
    <w:p w:rsidR="00335E6D" w:rsidRPr="00335E6D" w:rsidRDefault="00335E6D" w:rsidP="00D22A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 регистрации событий (видеозаписи); </w:t>
      </w:r>
    </w:p>
    <w:p w:rsidR="00335E6D" w:rsidRPr="00335E6D" w:rsidRDefault="00335E6D" w:rsidP="00D22A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>- автоматического обнаружения проникновения - анализ изображения и выдача сигнала тревоги по обнаружению движения.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Применение охранного телевидения позволяет в случае получения извещения о тревоге определить характер нарушения, место нарушения, направление движения нарушителя, выработать оптимальные меры противодействия. Кроме того, система охранного телевидения позволяет проводить наблюдение охраняемых зон Объекта.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 состав СОТ согласно ГОСТ Р 51558-2008 «Средства и системы охранные телевизионные. Классификация. Общие технические требования. Методы испытаний» входят: ТК; видеомонитор; источник электропитания, в том числе резервный; линии передачи видеосигналов любого типа; устройство управления и коммутации видеосигналов;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видеонакопитель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; линии связи.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 темное время суток, если освещенность охраняемой зоны ниже чувствительности ТК, Объект (зона объекта) должен оборудоваться охранным освещением видимого диапазона. Зоны охранного освещения должны совпадать с зоной обзора ТК.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Время хранения записи телевизионного сигнала с ТК должно быть не менее 15 (пятнадцати) суток.</w:t>
      </w:r>
    </w:p>
    <w:p w:rsidR="00335E6D" w:rsidRPr="00335E6D" w:rsidRDefault="00335E6D" w:rsidP="00D22A1C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30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системе тревожной сигнализации строящегося Объекта.</w:t>
      </w:r>
    </w:p>
    <w:p w:rsidR="00335E6D" w:rsidRPr="00335E6D" w:rsidRDefault="00335E6D" w:rsidP="00D22A1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 соответствии с ГОСТ Р 50775-95 «Системы тревожной сигнализации» для оперативной передачи сообщений о нештатных ситуациях и противоправных действиях в отношении охранников, персонала или посетителей Объекта рекомендуется устанавливать КТС с выводом сигнала на ПЦН или в дежурную часть органов внутренних дел.</w:t>
      </w:r>
    </w:p>
    <w:p w:rsidR="00335E6D" w:rsidRPr="00335E6D" w:rsidRDefault="00335E6D" w:rsidP="00D22A1C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30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электроснабжению технических средств охраны.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Установленные на Объекте технические средства охраны в соответствии с РД 78.36.003-2002 «Инженерно-техническая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укрепленность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. Технические средства охраны. Требования и нормы проектирования по защите объектов от преступных посягательств» рекомендуется относить к 1 категории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электроприемников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по надежности электроснабжения согласно правилам устройства электроустановок, в силу чего их электропитание должно быть бесперебойным (либо от двух независимых источников переменного тока, либо от одного источника переменного тока с автоматическим переключением в аварийном режиме на резервное питание от аккумуляторных батарей).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При использовании в качестве резервного источника питания аккумуляторной батареи должна обеспечиваться работа переключателей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извещателей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и тревожной сигнализации в течение не менее 24 (двадцати четырех) часов в дежурном режиме и в течение не менее 3(трех) часов в режиме тревоги.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Переход ИТСО на работу от резервного источника электропитания и обратно должен осуществляться автоматически без выдачи сигналов тревоги.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Защитное заземление или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зануление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ИТСО, соединительных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ответвительных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коробок и других элементов должно соответствовать требованиям Правил устройства электроустановок, утвержденных приказом Минэнерго России от 08.07.2002 № 204, СНиП 3 05.06-85 «Электротехнические устройства», РД 78. 145-93 «Системы и комплексы охранной, пожарной и охранно-пожарной сигнализации. Правила производства и приемки работ» и технической документации на изделия.</w:t>
      </w:r>
    </w:p>
    <w:p w:rsidR="00335E6D" w:rsidRPr="00335E6D" w:rsidRDefault="00335E6D" w:rsidP="00D22A1C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освещению строительной площадки.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Осветительные приборы охранного освещения могут быть любых типов: подъемные, консольные, прожекторные и иные.</w:t>
      </w:r>
    </w:p>
    <w:p w:rsidR="00335E6D" w:rsidRPr="00335E6D" w:rsidRDefault="00335E6D" w:rsidP="00D22A1C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нужд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периметрального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охранного освещения необходимо применять 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lastRenderedPageBreak/>
        <w:t>энергосберегающие светодиодные светильники.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  <w:tab w:val="left" w:pos="1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4. Требования к временным ИТСО реконструируемого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Требования к внешним ограждающим конструкциям реконструируемого Объекта регламентируются ГОСТ 23407-78 «Ограждения инвентарные строительных площадок и участков производства строительно-монтажных работ»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строительства.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(в соответствии с Графиком выполнения работ, поставок и объемов финансирования) до подписания Акта приемки законченного строительством объекта приемочной комиссией.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4.1.1. 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4.1.2. Высота внешнего ограждения территории строительных площадок и участков производства строительно-монтажных работ на Объекте должна составлять не менее 2-х метров, дополнительно применяется верхнее ограждение в виде спирального барьера типа «Егоза».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4.1.3. Ограждение не должно иметь пролазов, проломов и других повреждений, а также не запираемых ворот, калиток и т.д.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4.1.4. Организация прохода людей и проезда транспортных средств осуществляется через действующее КПП объекта.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 Требования к системе охранной сигнализации периметра строительных площадок и участков производства строительно-монтажных работ.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4.2.1. В соответствии с РД 78.145-93 «Системы и комплексы охранной, пожарной и охранно-пожарной сигнализации. Правила производства и приемки работ» технические средства охранной сигнализации периметра размещаются на ограждении строительных площадок и участков производства строительно-монтажных работ и могут быть любого принципа действия.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4.2.2. Технические средства для охраны периметра должны обеспечивать: заданный режим охраны; надежность в работе и отсутствие ложных сигналов тревоги от воздействия метеорологических факторов и других помех; невозможность преодоления системы охраны; одновременный прием сигналов тревоги с любого блокированного участка с определением места нарушения.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4.2.3. Все оборудование, входящее в СОС периметра, должно иметь защиту от вскрытия (несанкционированного доступа).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 Требования к системе охранного телевидения.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4.3.1. Устанавливаемая СОТ на периметре строительных площадок и участков производства строительно-монтажных работ должна обеспечивать передачу визуальной информации о состоянии контролируемых зон. Применение охранного телевидения позволяет в случае получения извещения о тревоге определить характер нарушения, место нарушения, направление движения нарушителя, выработать оптимальные меры противодействия. Кроме того, система охранного телевидения позволяет проводить наблюдение охраняемых зон.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4.3.2. В темное время суток, если освещенность охраняемой зоны ниже чувствительности ТК, Объект (зона объекта) должен оборудоваться охранным освещением видимого диапазона. Зоны охранного освещения должны совпадать с зоной обзора ТК.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4.3.3. Время хранения записи телевизионного сигнала должно быть не менее 15 суток.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4.4. Требования к электроснабжению технических средств охраны.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4.4.1. При использовании в качестве резервного источника питания аккумуляторной батареи должна обеспечиваться работа переключателей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извещателей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и тревожной сигнализации в течение не менее 24 часов в дежурном режиме и в течение не менее 3 часов в режиме тревоги.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4.4.2. Переход ИТСО на работу от резервного источника электропитания и обратно должен осуществляться автоматически без выдачи сигналов тревоги.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lastRenderedPageBreak/>
        <w:t>4.5. Требования к освещению строительной площадки.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4.5.1. Освещение строительной площадки должно обеспечить необходимую освещенность периметра и создать условия видимости для физической охраны Объекта и СОТ.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4.5.2. Осветительные приборы охранного освещения могут быть любого типа: подъемные, консольные, прожекторные и иные.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5. Требования к охранной организации по осуществлению мероприятий по физической защите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5.1. Охранная организация по условиям заключаемого с Подрядчиком договора должна:</w:t>
      </w:r>
    </w:p>
    <w:p w:rsidR="00335E6D" w:rsidRPr="00335E6D" w:rsidRDefault="00335E6D" w:rsidP="00335E6D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быть зарегистрирована в установленном законодательством Российской Федерации порядке;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обладать необходимыми разрешительными документами на предоставление услуг по охране объектов и обеспечению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режима; 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иметь подготовленный персонал для оказания охранных услуг в круглосуточном режиме с опытом охраны Объекта соответствующего класса, аналогичному строящемуся;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обеспечить документами, удостоверяющими личность, работника охраны, обеспечить форменной одеждой и экипировкой, соответствующими характеру оказываемых услуг специальными средствами (палка резиновая, наручники и т.д.) с момента начала оказания услуг в количестве, достаточном для оказания услуг;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организовывать проведение проверок (плановых/внеплановых) выполнения функциональных обязанностей работниками охранных организаций;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разработать порядок взаимодействия с территориальными органами (подразделениями) ФСБ РФ, МВД РФ и МЧС РФ, а также схемы оповещения и вызова персонала на случай возникновения чрезвычайной ситуации;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разработать и согласовать с Заказчиком документацию, регламентирующую пропускной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внутриобъектовый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 на Объекте в соответствии с требованиями организационно-распорядительных документов Заказчика;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незамедлительно информировать Заказчика и правоохранительные органы о противоправных действиях в отношении персонала подрядных организаций, находящегося на Объектах, а также непосредственно Объектов строительства.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*Примечание: указывается организационно-распорядительный документ, действующий на дату заключения настоящего Договора.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6. Требования к оказываемым услугам в области организации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пропускного и </w:t>
      </w:r>
      <w:proofErr w:type="spellStart"/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режима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6.1. При реализации мероприятий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 Охранная организация должна:</w:t>
      </w:r>
    </w:p>
    <w:p w:rsidR="00335E6D" w:rsidRPr="00335E6D" w:rsidRDefault="00335E6D" w:rsidP="00335E6D">
      <w:pPr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осуществлять пропускной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внутриобъектовый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 в соответствии с утвержденными Заказчиком инструкциями «О пропускном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внутриобъектовом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режимах», разработанными в соответствии с требованиями организационно-распорядительных документов Заказчика; </w:t>
      </w:r>
    </w:p>
    <w:p w:rsidR="00335E6D" w:rsidRPr="00335E6D" w:rsidRDefault="00335E6D" w:rsidP="00335E6D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Заказчика, а также представителей Заказчика при предъявлении данными работниками/представителями необходимых документов и служебных удостоверений;</w:t>
      </w:r>
    </w:p>
    <w:p w:rsidR="00335E6D" w:rsidRPr="00335E6D" w:rsidRDefault="00335E6D" w:rsidP="00335E6D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работники охраны Объекта должны быть обеспечены техническими средствами осмотра (осмотровые зеркала,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металлодетекторы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переносные приборы для обнаружения радиоактивных материалов), приобретаемыми за счет средств охранной организации;</w:t>
      </w:r>
    </w:p>
    <w:p w:rsidR="00335E6D" w:rsidRPr="00335E6D" w:rsidRDefault="00335E6D" w:rsidP="00335E6D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у охраны Объекта на КПП должен находиться полный перечень служебной документации, разработанной Подрядчиком и согласованной с Заказчиком, а также в соответствии с ведомственными требованиями и рекомендациями МВД РФ.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*Примечание: указывается организационно-распорядительный документ, действующий на дату заключения настоящего Договора.</w:t>
      </w: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3897" w:rsidRPr="008D3897" w:rsidRDefault="00D22A1C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371" w:right="-8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lastRenderedPageBreak/>
        <w:t>П</w:t>
      </w:r>
      <w:r w:rsidR="008D3897"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риложение 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371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 Требованиям</w:t>
      </w:r>
    </w:p>
    <w:p w:rsidR="008D3897" w:rsidRPr="008D3897" w:rsidRDefault="008D3897" w:rsidP="008D389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3897">
        <w:rPr>
          <w:rFonts w:ascii="Times New Roman" w:eastAsia="Calibri" w:hAnsi="Times New Roman" w:cs="Times New Roman"/>
          <w:b/>
          <w:bCs/>
          <w:sz w:val="24"/>
          <w:szCs w:val="24"/>
        </w:rPr>
        <w:t>ФОРМА</w:t>
      </w: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3897">
        <w:rPr>
          <w:rFonts w:ascii="Times New Roman" w:eastAsia="Calibri" w:hAnsi="Times New Roman" w:cs="Times New Roman"/>
          <w:b/>
          <w:bCs/>
          <w:sz w:val="24"/>
          <w:szCs w:val="24"/>
        </w:rPr>
        <w:t>Акт о нарушении Требований к организации охраны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_________________</w:t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________________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(место составления)</w:t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(дата составления)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1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39"/>
        <w:gridCol w:w="4571"/>
      </w:tblGrid>
      <w:tr w:rsidR="008D3897" w:rsidRPr="008D3897" w:rsidTr="00D27225">
        <w:trPr>
          <w:trHeight w:val="311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firstLine="567"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color w:val="000000"/>
                <w:sz w:val="24"/>
                <w:szCs w:val="24"/>
                <w:u w:color="000000"/>
              </w:rPr>
              <w:t>Наименование Объекта проверки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firstLine="567"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color w:val="000000"/>
                <w:sz w:val="24"/>
                <w:szCs w:val="24"/>
                <w:u w:color="000000"/>
              </w:rPr>
              <w:t>Реквизиты Договора</w:t>
            </w:r>
          </w:p>
        </w:tc>
      </w:tr>
      <w:tr w:rsidR="008D3897" w:rsidRPr="008D3897" w:rsidTr="00D27225">
        <w:trPr>
          <w:trHeight w:val="1017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Содержание Акта*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072"/>
        </w:tabs>
        <w:spacing w:after="0" w:line="240" w:lineRule="auto"/>
        <w:ind w:right="418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5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72"/>
      </w:tblGrid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1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3"/>
        <w:gridCol w:w="5810"/>
        <w:gridCol w:w="2702"/>
      </w:tblGrid>
      <w:tr w:rsidR="008D3897" w:rsidRPr="008D3897" w:rsidTr="00D27225">
        <w:trPr>
          <w:trHeight w:val="2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№ п/п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 xml:space="preserve">Выявленные нарушения Требований </w:t>
            </w:r>
            <w:r w:rsidRPr="008D3897">
              <w:rPr>
                <w:b/>
                <w:color w:val="000000"/>
                <w:sz w:val="24"/>
                <w:szCs w:val="24"/>
                <w:u w:color="000000"/>
              </w:rPr>
              <w:br/>
            </w: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>к организации охраны Заказчика</w:t>
            </w: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**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>Срок устранения нарушения</w:t>
            </w: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567"/>
              </w:tabs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2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3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Настоящий акт является основанием для привлечения Подрядчика к ответственности в соответствии с п. </w:t>
      </w:r>
      <w:r w:rsidRPr="008D38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 xml:space="preserve">21.2.29 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Договора.</w:t>
      </w:r>
    </w:p>
    <w:p w:rsidR="008D3897" w:rsidRPr="008D3897" w:rsidRDefault="008D3897" w:rsidP="008D38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897">
        <w:rPr>
          <w:rFonts w:ascii="Times New Roman" w:eastAsia="Calibri" w:hAnsi="Times New Roman" w:cs="Times New Roman"/>
          <w:sz w:val="24"/>
          <w:szCs w:val="24"/>
        </w:rPr>
        <w:t xml:space="preserve">Настоящий акт выдан для принятия Подрядчиком надлежащих мер по устранению выявленных нарушений Требований к организации охраны, пропускного и </w:t>
      </w:r>
      <w:proofErr w:type="spellStart"/>
      <w:r w:rsidRPr="008D3897">
        <w:rPr>
          <w:rFonts w:ascii="Times New Roman" w:eastAsia="Calibri" w:hAnsi="Times New Roman" w:cs="Times New Roman"/>
          <w:sz w:val="24"/>
          <w:szCs w:val="24"/>
        </w:rPr>
        <w:t>внутриобъектового</w:t>
      </w:r>
      <w:proofErr w:type="spellEnd"/>
      <w:r w:rsidRPr="008D3897">
        <w:rPr>
          <w:rFonts w:ascii="Times New Roman" w:eastAsia="Calibri" w:hAnsi="Times New Roman" w:cs="Times New Roman"/>
          <w:sz w:val="24"/>
          <w:szCs w:val="24"/>
        </w:rPr>
        <w:t xml:space="preserve"> режима на строящихся (реконструируемых) объектах </w:t>
      </w:r>
      <w:r w:rsidRPr="008D389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</w:t>
      </w:r>
      <w:proofErr w:type="spellStart"/>
      <w:r w:rsidRPr="008D3897">
        <w:rPr>
          <w:rFonts w:ascii="Times New Roman" w:eastAsia="Calibri" w:hAnsi="Times New Roman" w:cs="Times New Roman"/>
          <w:i/>
          <w:sz w:val="24"/>
          <w:szCs w:val="24"/>
        </w:rPr>
        <w:t>Россети</w:t>
      </w:r>
      <w:proofErr w:type="spellEnd"/>
      <w:r w:rsidRPr="008D3897">
        <w:rPr>
          <w:rFonts w:ascii="Times New Roman" w:eastAsia="Calibri" w:hAnsi="Times New Roman" w:cs="Times New Roman"/>
          <w:i/>
          <w:sz w:val="24"/>
          <w:szCs w:val="24"/>
        </w:rPr>
        <w:t>»).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Информацию об исполнении требований настоящего акта Подрядчик обязан направить в письменном виде в адрес __________________________***.</w:t>
      </w:r>
    </w:p>
    <w:tbl>
      <w:tblPr>
        <w:tblStyle w:val="TableNormal"/>
        <w:tblW w:w="10009" w:type="dxa"/>
        <w:tblInd w:w="8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  <w:gridCol w:w="190"/>
        <w:gridCol w:w="180"/>
      </w:tblGrid>
      <w:tr w:rsidR="008D3897" w:rsidRPr="008D3897" w:rsidTr="00D27225">
        <w:trPr>
          <w:gridAfter w:val="2"/>
          <w:wAfter w:w="370" w:type="dxa"/>
          <w:trHeight w:val="31"/>
        </w:trPr>
        <w:tc>
          <w:tcPr>
            <w:tcW w:w="96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firstLine="709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При проведении проверки присутствовали:</w:t>
            </w:r>
          </w:p>
        </w:tc>
      </w:tr>
      <w:tr w:rsidR="008D3897" w:rsidRPr="008D3897" w:rsidTr="00D27225">
        <w:trPr>
          <w:trHeight w:val="211"/>
        </w:trPr>
        <w:tc>
          <w:tcPr>
            <w:tcW w:w="9829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Заказчика: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От Подрядчика: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Иные лица:</w:t>
            </w: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 xml:space="preserve"> _______________________________________</w:t>
            </w:r>
          </w:p>
        </w:tc>
        <w:tc>
          <w:tcPr>
            <w:tcW w:w="18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3897" w:rsidRPr="008D3897" w:rsidRDefault="008D3897" w:rsidP="008D3897">
            <w:pPr>
              <w:widowControl w:val="0"/>
              <w:ind w:right="-8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8" w:right="-8" w:hanging="1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lastRenderedPageBreak/>
        <w:t>От Заказчика                                          От Подрядчика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_______________ </w:t>
      </w: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(________________)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         ________________ (_____________)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М.П.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 xml:space="preserve">     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 xml:space="preserve">       М.П.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*Примечание. В разделе «Содержание акта» необходимо указать, дату, место, предмет проведения и иные фактические обстоятельства проведения проверки.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**Примечание. В столбце «Выявленные нарушения» необходимо указать состав нарушения и ссылку на пункт Требований.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***Примечание. При необходимости указывается подразделение Заказчика, ответственное за проверку устранения выявленных нарушений, в прочих случаях указывается слово «Заказчика».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D365CF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</w:pPr>
      <w:r w:rsidRPr="00D3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  <w:t>ФОРМУ СОГЛАСОВАЛИ:</w:t>
      </w:r>
      <w:bookmarkStart w:id="0" w:name="_GoBack"/>
      <w:bookmarkEnd w:id="0"/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              </w:t>
      </w:r>
    </w:p>
    <w:tbl>
      <w:tblPr>
        <w:tblStyle w:val="a4"/>
        <w:tblW w:w="114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994"/>
      </w:tblGrid>
      <w:tr w:rsidR="00D22A1C" w:rsidRPr="002F13CF" w:rsidTr="00D22A1C">
        <w:tc>
          <w:tcPr>
            <w:tcW w:w="5495" w:type="dxa"/>
          </w:tcPr>
          <w:p w:rsidR="00D22A1C" w:rsidRPr="002F13CF" w:rsidRDefault="00D22A1C" w:rsidP="00C056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ЗАКАЗЧИКА: </w:t>
            </w:r>
          </w:p>
          <w:p w:rsidR="00D22A1C" w:rsidRDefault="00D22A1C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</w:t>
            </w:r>
          </w:p>
          <w:p w:rsidR="00D22A1C" w:rsidRPr="002F13CF" w:rsidRDefault="00D22A1C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по инвестиционной деятельности</w:t>
            </w:r>
          </w:p>
          <w:p w:rsidR="00D22A1C" w:rsidRPr="002F13CF" w:rsidRDefault="00D22A1C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D22A1C" w:rsidRPr="002F13CF" w:rsidRDefault="00D22A1C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A1C" w:rsidRPr="002F13CF" w:rsidRDefault="00D22A1C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A1C" w:rsidRPr="002F13CF" w:rsidRDefault="00D22A1C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D22A1C" w:rsidRPr="002F13CF" w:rsidRDefault="00D22A1C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 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 » ______________ 2026 г.</w:t>
            </w:r>
          </w:p>
          <w:p w:rsidR="00D22A1C" w:rsidRPr="002F13CF" w:rsidRDefault="00D22A1C" w:rsidP="00C056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994" w:type="dxa"/>
          </w:tcPr>
          <w:p w:rsidR="00D22A1C" w:rsidRPr="002F13CF" w:rsidRDefault="00D22A1C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ПОДРЯДЧИКА: </w:t>
            </w:r>
          </w:p>
          <w:p w:rsidR="00D22A1C" w:rsidRPr="002F13CF" w:rsidRDefault="00D22A1C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D22A1C" w:rsidRDefault="00D22A1C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788" w:rsidRDefault="008A3788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788" w:rsidRPr="002F13CF" w:rsidRDefault="008A3788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A1C" w:rsidRPr="002F13CF" w:rsidRDefault="00D22A1C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A1C" w:rsidRPr="002F13CF" w:rsidRDefault="00D22A1C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D22A1C" w:rsidRPr="002F13CF" w:rsidRDefault="00D22A1C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«_____</w:t>
            </w: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______________2026г.</w:t>
            </w:r>
          </w:p>
          <w:p w:rsidR="00D22A1C" w:rsidRPr="002F13CF" w:rsidRDefault="00D22A1C" w:rsidP="00D22A1C">
            <w:pPr>
              <w:pStyle w:val="a3"/>
              <w:ind w:left="4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8D3897" w:rsidRPr="008D3897" w:rsidRDefault="008D3897" w:rsidP="00D22A1C">
      <w:pPr>
        <w:widowControl w:val="0"/>
        <w:tabs>
          <w:tab w:val="left" w:pos="98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Default="00335E6D" w:rsidP="00335E6D">
      <w:pPr>
        <w:rPr>
          <w:rFonts w:ascii="Calibri" w:eastAsia="Calibri" w:hAnsi="Calibri" w:cs="Times New Roman"/>
        </w:rPr>
      </w:pPr>
    </w:p>
    <w:p w:rsidR="007F15D8" w:rsidRDefault="00335E6D" w:rsidP="00335E6D">
      <w:pPr>
        <w:tabs>
          <w:tab w:val="left" w:pos="4212"/>
        </w:tabs>
      </w:pPr>
      <w:r>
        <w:rPr>
          <w:rFonts w:ascii="Calibri" w:eastAsia="Calibri" w:hAnsi="Calibri" w:cs="Times New Roman"/>
        </w:rPr>
        <w:tab/>
      </w:r>
    </w:p>
    <w:sectPr w:rsidR="007F15D8" w:rsidSect="00D22A1C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6E60"/>
    <w:multiLevelType w:val="multilevel"/>
    <w:tmpl w:val="09B232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Arial Unicode MS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Arial Unicode MS" w:hint="default"/>
      </w:rPr>
    </w:lvl>
  </w:abstractNum>
  <w:abstractNum w:abstractNumId="1" w15:restartNumberingAfterBreak="0">
    <w:nsid w:val="13B7100A"/>
    <w:multiLevelType w:val="hybridMultilevel"/>
    <w:tmpl w:val="BFC8F460"/>
    <w:numStyleLink w:val="39"/>
  </w:abstractNum>
  <w:abstractNum w:abstractNumId="2" w15:restartNumberingAfterBreak="0">
    <w:nsid w:val="1CF511C7"/>
    <w:multiLevelType w:val="hybridMultilevel"/>
    <w:tmpl w:val="B412B36C"/>
    <w:numStyleLink w:val="41"/>
  </w:abstractNum>
  <w:abstractNum w:abstractNumId="3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BDB5351"/>
    <w:multiLevelType w:val="hybridMultilevel"/>
    <w:tmpl w:val="2F2863BC"/>
    <w:styleLink w:val="42"/>
    <w:lvl w:ilvl="0" w:tplc="922412FA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D665FA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046D0A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B624D4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DAE334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61F18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C4577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56E82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F8754E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49C1D72"/>
    <w:multiLevelType w:val="hybridMultilevel"/>
    <w:tmpl w:val="BFC8F460"/>
    <w:styleLink w:val="39"/>
    <w:lvl w:ilvl="0" w:tplc="CEFE831C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DEF442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0EEAEC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2A25E6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727A98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B27A8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3AF8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98FF5E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3615FC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12309F6"/>
    <w:multiLevelType w:val="hybridMultilevel"/>
    <w:tmpl w:val="2F2863BC"/>
    <w:numStyleLink w:val="42"/>
  </w:abstractNum>
  <w:abstractNum w:abstractNumId="7" w15:restartNumberingAfterBreak="0">
    <w:nsid w:val="71D373B9"/>
    <w:multiLevelType w:val="multilevel"/>
    <w:tmpl w:val="76B8FB18"/>
    <w:numStyleLink w:val="38"/>
  </w:abstractNum>
  <w:abstractNum w:abstractNumId="8" w15:restartNumberingAfterBreak="0">
    <w:nsid w:val="72E87D9E"/>
    <w:multiLevelType w:val="hybridMultilevel"/>
    <w:tmpl w:val="B412B36C"/>
    <w:styleLink w:val="41"/>
    <w:lvl w:ilvl="0" w:tplc="A2C6179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6C7F6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30037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05F6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FAEE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481E1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86D7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B6F26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64376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"/>
  </w:num>
  <w:num w:numId="2">
    <w:abstractNumId w:val="7"/>
    <w:lvlOverride w:ilvl="0">
      <w:startOverride w:val="2"/>
    </w:lvlOverride>
  </w:num>
  <w:num w:numId="3">
    <w:abstractNumId w:val="5"/>
  </w:num>
  <w:num w:numId="4">
    <w:abstractNumId w:val="1"/>
  </w:num>
  <w:num w:numId="5">
    <w:abstractNumId w:val="1"/>
    <w:lvlOverride w:ilvl="0">
      <w:lvl w:ilvl="0" w:tplc="942E33AE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13EC4FA">
        <w:start w:val="1"/>
        <w:numFmt w:val="bullet"/>
        <w:lvlText w:val="-"/>
        <w:lvlJc w:val="left"/>
        <w:pPr>
          <w:tabs>
            <w:tab w:val="num" w:pos="993"/>
            <w:tab w:val="left" w:pos="1211"/>
            <w:tab w:val="left" w:pos="2089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ADA15CA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B8A8E4C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5A01ACC">
        <w:start w:val="1"/>
        <w:numFmt w:val="bullet"/>
        <w:lvlText w:val="o"/>
        <w:lvlJc w:val="left"/>
        <w:pPr>
          <w:tabs>
            <w:tab w:val="left" w:pos="993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B660A3C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950174E">
        <w:start w:val="1"/>
        <w:numFmt w:val="bullet"/>
        <w:lvlText w:val="•"/>
        <w:lvlJc w:val="left"/>
        <w:pPr>
          <w:tabs>
            <w:tab w:val="left" w:pos="993"/>
            <w:tab w:val="left" w:pos="1211"/>
            <w:tab w:val="left" w:pos="2089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54AF924">
        <w:start w:val="1"/>
        <w:numFmt w:val="bullet"/>
        <w:lvlText w:val="o"/>
        <w:lvlJc w:val="left"/>
        <w:pPr>
          <w:tabs>
            <w:tab w:val="left" w:pos="993"/>
            <w:tab w:val="left" w:pos="1211"/>
            <w:tab w:val="left" w:pos="2089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D16549C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"/>
    <w:lvlOverride w:ilvl="0">
      <w:lvl w:ilvl="0" w:tplc="942E33AE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13EC4FA">
        <w:start w:val="1"/>
        <w:numFmt w:val="bullet"/>
        <w:lvlText w:val="-"/>
        <w:lvlJc w:val="left"/>
        <w:pPr>
          <w:tabs>
            <w:tab w:val="num" w:pos="928"/>
            <w:tab w:val="left" w:pos="1080"/>
            <w:tab w:val="left" w:pos="1211"/>
          </w:tabs>
          <w:ind w:left="219" w:firstLine="49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ADA15CA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B8A8E4C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5A01ACC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B660A3C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950174E">
        <w:start w:val="1"/>
        <w:numFmt w:val="bullet"/>
        <w:lvlText w:val="•"/>
        <w:lvlJc w:val="left"/>
        <w:pPr>
          <w:tabs>
            <w:tab w:val="left" w:pos="928"/>
            <w:tab w:val="left" w:pos="1080"/>
            <w:tab w:val="left" w:pos="1211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54AF924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D16549C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8"/>
  </w:num>
  <w:num w:numId="8">
    <w:abstractNumId w:val="2"/>
  </w:num>
  <w:num w:numId="9">
    <w:abstractNumId w:val="2"/>
    <w:lvlOverride w:ilvl="0">
      <w:lvl w:ilvl="0" w:tplc="7EFAD50A">
        <w:start w:val="1"/>
        <w:numFmt w:val="bullet"/>
        <w:lvlText w:val="-"/>
        <w:lvlJc w:val="left"/>
        <w:pPr>
          <w:tabs>
            <w:tab w:val="left" w:pos="502"/>
            <w:tab w:val="num" w:pos="993"/>
            <w:tab w:val="left" w:pos="1440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7C687B0">
        <w:start w:val="1"/>
        <w:numFmt w:val="bullet"/>
        <w:lvlText w:val="o"/>
        <w:lvlJc w:val="left"/>
        <w:pPr>
          <w:tabs>
            <w:tab w:val="left" w:pos="502"/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786BC5E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2149"/>
          </w:tabs>
          <w:ind w:left="14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41E42B4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2869"/>
          </w:tabs>
          <w:ind w:left="21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35E5ACA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3589"/>
          </w:tabs>
          <w:ind w:left="288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336BD98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4309"/>
          </w:tabs>
          <w:ind w:left="360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11CE214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5029"/>
          </w:tabs>
          <w:ind w:left="432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A6E7B0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5749"/>
          </w:tabs>
          <w:ind w:left="50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ACEC0D6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6469"/>
          </w:tabs>
          <w:ind w:left="57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4"/>
  </w:num>
  <w:num w:numId="11">
    <w:abstractNumId w:val="6"/>
  </w:num>
  <w:num w:numId="12">
    <w:abstractNumId w:val="6"/>
    <w:lvlOverride w:ilvl="0">
      <w:lvl w:ilvl="0" w:tplc="6E181FFE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528446A">
        <w:start w:val="1"/>
        <w:numFmt w:val="bullet"/>
        <w:lvlText w:val="-"/>
        <w:lvlJc w:val="left"/>
        <w:pPr>
          <w:tabs>
            <w:tab w:val="num" w:pos="993"/>
            <w:tab w:val="left" w:pos="1080"/>
            <w:tab w:val="left" w:pos="2235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B7E29C4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5E0DA42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3B6459A">
        <w:start w:val="1"/>
        <w:numFmt w:val="bullet"/>
        <w:lvlText w:val="o"/>
        <w:lvlJc w:val="left"/>
        <w:pPr>
          <w:tabs>
            <w:tab w:val="left" w:pos="993"/>
            <w:tab w:val="left" w:pos="108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7C08430">
        <w:start w:val="1"/>
        <w:numFmt w:val="bullet"/>
        <w:lvlText w:val="▪"/>
        <w:lvlJc w:val="left"/>
        <w:pPr>
          <w:tabs>
            <w:tab w:val="left" w:pos="993"/>
            <w:tab w:val="left" w:pos="108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092B716">
        <w:start w:val="1"/>
        <w:numFmt w:val="bullet"/>
        <w:lvlText w:val="•"/>
        <w:lvlJc w:val="left"/>
        <w:pPr>
          <w:tabs>
            <w:tab w:val="left" w:pos="993"/>
            <w:tab w:val="left" w:pos="108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A626C32">
        <w:start w:val="1"/>
        <w:numFmt w:val="bullet"/>
        <w:lvlText w:val="o"/>
        <w:lvlJc w:val="left"/>
        <w:pPr>
          <w:tabs>
            <w:tab w:val="left" w:pos="993"/>
            <w:tab w:val="left" w:pos="108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1B2AC7A">
        <w:start w:val="1"/>
        <w:numFmt w:val="bullet"/>
        <w:lvlText w:val="▪"/>
        <w:lvlJc w:val="left"/>
        <w:pPr>
          <w:tabs>
            <w:tab w:val="left" w:pos="993"/>
            <w:tab w:val="left" w:pos="108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6"/>
    <w:lvlOverride w:ilvl="0">
      <w:lvl w:ilvl="0" w:tplc="6E181FFE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528446A">
        <w:start w:val="1"/>
        <w:numFmt w:val="bullet"/>
        <w:lvlText w:val="-"/>
        <w:lvlJc w:val="left"/>
        <w:pPr>
          <w:tabs>
            <w:tab w:val="num" w:pos="960"/>
            <w:tab w:val="left" w:pos="2235"/>
          </w:tabs>
          <w:ind w:left="251" w:firstLine="45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B7E29C4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5E0DA42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3B6459A">
        <w:start w:val="1"/>
        <w:numFmt w:val="bullet"/>
        <w:lvlText w:val="o"/>
        <w:lvlJc w:val="left"/>
        <w:pPr>
          <w:tabs>
            <w:tab w:val="left" w:pos="96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7C08430">
        <w:start w:val="1"/>
        <w:numFmt w:val="bullet"/>
        <w:lvlText w:val="▪"/>
        <w:lvlJc w:val="left"/>
        <w:pPr>
          <w:tabs>
            <w:tab w:val="left" w:pos="96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092B716">
        <w:start w:val="1"/>
        <w:numFmt w:val="bullet"/>
        <w:lvlText w:val="•"/>
        <w:lvlJc w:val="left"/>
        <w:pPr>
          <w:tabs>
            <w:tab w:val="left" w:pos="96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A626C32">
        <w:start w:val="1"/>
        <w:numFmt w:val="bullet"/>
        <w:lvlText w:val="o"/>
        <w:lvlJc w:val="left"/>
        <w:pPr>
          <w:tabs>
            <w:tab w:val="left" w:pos="96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1B2AC7A">
        <w:start w:val="1"/>
        <w:numFmt w:val="bullet"/>
        <w:lvlText w:val="▪"/>
        <w:lvlJc w:val="left"/>
        <w:pPr>
          <w:tabs>
            <w:tab w:val="left" w:pos="96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2D"/>
    <w:rsid w:val="001C202D"/>
    <w:rsid w:val="00335E6D"/>
    <w:rsid w:val="007F15D8"/>
    <w:rsid w:val="008A3788"/>
    <w:rsid w:val="008D3897"/>
    <w:rsid w:val="00D22A1C"/>
    <w:rsid w:val="00D3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CABCF-3276-485F-A99A-D7CDD82F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35E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8">
    <w:name w:val="Импортированный стиль 38"/>
    <w:rsid w:val="00335E6D"/>
    <w:pPr>
      <w:numPr>
        <w:numId w:val="1"/>
      </w:numPr>
    </w:pPr>
  </w:style>
  <w:style w:type="numbering" w:customStyle="1" w:styleId="39">
    <w:name w:val="Импортированный стиль 39"/>
    <w:rsid w:val="00335E6D"/>
    <w:pPr>
      <w:numPr>
        <w:numId w:val="3"/>
      </w:numPr>
    </w:pPr>
  </w:style>
  <w:style w:type="numbering" w:customStyle="1" w:styleId="41">
    <w:name w:val="Импортированный стиль 41"/>
    <w:rsid w:val="00335E6D"/>
    <w:pPr>
      <w:numPr>
        <w:numId w:val="7"/>
      </w:numPr>
    </w:pPr>
  </w:style>
  <w:style w:type="numbering" w:customStyle="1" w:styleId="42">
    <w:name w:val="Импортированный стиль 42"/>
    <w:rsid w:val="00335E6D"/>
    <w:pPr>
      <w:numPr>
        <w:numId w:val="10"/>
      </w:numPr>
    </w:pPr>
  </w:style>
  <w:style w:type="paragraph" w:styleId="a3">
    <w:name w:val="No Spacing"/>
    <w:uiPriority w:val="1"/>
    <w:qFormat/>
    <w:rsid w:val="00D22A1C"/>
    <w:pPr>
      <w:spacing w:after="0" w:line="240" w:lineRule="auto"/>
    </w:pPr>
  </w:style>
  <w:style w:type="table" w:styleId="a4">
    <w:name w:val="Table Grid"/>
    <w:basedOn w:val="a1"/>
    <w:uiPriority w:val="39"/>
    <w:rsid w:val="00D2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3592</Words>
  <Characters>20476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6</cp:revision>
  <dcterms:created xsi:type="dcterms:W3CDTF">2023-05-26T11:00:00Z</dcterms:created>
  <dcterms:modified xsi:type="dcterms:W3CDTF">2026-06-16T10:07:00Z</dcterms:modified>
</cp:coreProperties>
</file>